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8F22" w14:textId="6BDC14E5" w:rsidR="00275E8D" w:rsidRPr="00F05E65" w:rsidRDefault="00C96832">
      <w:pPr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7C7C7C"/>
          <w:lang w:eastAsia="ru-RU"/>
        </w:rPr>
        <w:t>ИК-анализатор</w:t>
      </w:r>
      <w:r w:rsidRPr="00F05E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5E65">
        <w:rPr>
          <w:rFonts w:ascii="Times New Roman" w:eastAsia="Times New Roman" w:hAnsi="Times New Roman" w:cs="Times New Roman"/>
          <w:b/>
          <w:bCs/>
          <w:color w:val="7C7C7C"/>
          <w:lang w:eastAsia="ru-RU"/>
        </w:rPr>
        <w:t>ИНФРАСКАН-</w:t>
      </w:r>
      <w:r w:rsidRPr="00F05E65">
        <w:rPr>
          <w:rFonts w:ascii="Times New Roman" w:eastAsia="Times New Roman" w:hAnsi="Times New Roman" w:cs="Times New Roman"/>
          <w:b/>
          <w:bCs/>
          <w:color w:val="7C7C7C"/>
          <w:lang w:eastAsia="ru-RU"/>
        </w:rPr>
        <w:t>4200</w:t>
      </w:r>
    </w:p>
    <w:p w14:paraId="4D756765" w14:textId="2C0C7ADD" w:rsidR="00C96832" w:rsidRPr="00F05E65" w:rsidRDefault="00C96832">
      <w:pPr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5FE194DF" w14:textId="77777777" w:rsidR="00C96832" w:rsidRPr="00C96832" w:rsidRDefault="00C96832" w:rsidP="00C96832">
      <w:pPr>
        <w:rPr>
          <w:rFonts w:ascii="Times New Roman" w:eastAsia="Times New Roman" w:hAnsi="Times New Roman" w:cs="Times New Roman"/>
          <w:lang w:eastAsia="ru-RU"/>
        </w:rPr>
      </w:pPr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 xml:space="preserve">Предназначен для определения </w:t>
      </w:r>
      <w:proofErr w:type="spellStart"/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м.д</w:t>
      </w:r>
      <w:proofErr w:type="spellEnd"/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. компонентов жидких, сыпучих и пастообразных продуктов путём измерения оптических характеристик специально подготовленных проб анализируемых продуктов в ближней инфракрасной области спектра</w:t>
      </w:r>
    </w:p>
    <w:p w14:paraId="75D23CB6" w14:textId="751A8402" w:rsidR="00C96832" w:rsidRPr="00F05E65" w:rsidRDefault="00C96832">
      <w:pPr>
        <w:rPr>
          <w:rFonts w:ascii="Times New Roman" w:eastAsia="Times New Roman" w:hAnsi="Times New Roman" w:cs="Times New Roman"/>
          <w:lang w:eastAsia="ru-RU"/>
        </w:rPr>
      </w:pPr>
    </w:p>
    <w:p w14:paraId="23272A0C" w14:textId="639B4AC7" w:rsidR="00C96832" w:rsidRPr="00C96832" w:rsidRDefault="00C96832" w:rsidP="006873C9">
      <w:pPr>
        <w:spacing w:line="288" w:lineRule="atLeast"/>
        <w:rPr>
          <w:rFonts w:ascii="Times New Roman" w:eastAsia="Times New Roman" w:hAnsi="Times New Roman" w:cs="Times New Roman"/>
          <w:i/>
          <w:iCs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i/>
          <w:iCs/>
          <w:color w:val="494949"/>
          <w:lang w:eastAsia="ru-RU"/>
        </w:rPr>
        <w:t>Анализатор ИНФРАСКАН-4200 прошёл испытания во Всероссийском научно-</w:t>
      </w:r>
      <w:r w:rsidRPr="00C96832">
        <w:rPr>
          <w:rFonts w:ascii="Times New Roman" w:eastAsia="Times New Roman" w:hAnsi="Times New Roman" w:cs="Times New Roman"/>
          <w:i/>
          <w:iCs/>
          <w:color w:val="404040" w:themeColor="text1" w:themeTint="BF"/>
          <w:lang w:eastAsia="ru-RU"/>
        </w:rPr>
        <w:t>исследовательском институте метрологии им. Д.И. Менделеева и внесён в единый государственный реестр средств измерений под </w:t>
      </w:r>
      <w:r w:rsidRPr="00C96832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lang w:eastAsia="ru-RU"/>
        </w:rPr>
        <w:t>№83050-21</w:t>
      </w:r>
      <w:r w:rsidRPr="00C96832">
        <w:rPr>
          <w:rFonts w:ascii="Times New Roman" w:eastAsia="Times New Roman" w:hAnsi="Times New Roman" w:cs="Times New Roman"/>
          <w:i/>
          <w:iCs/>
          <w:color w:val="404040" w:themeColor="text1" w:themeTint="BF"/>
          <w:lang w:eastAsia="ru-RU"/>
        </w:rPr>
        <w:t>. Все выпускаемые приборы проходят первичную поверку и имеют соответствующее свидетельство.</w:t>
      </w:r>
    </w:p>
    <w:p w14:paraId="3084D29F" w14:textId="77777777" w:rsidR="00C96832" w:rsidRPr="00C96832" w:rsidRDefault="00C96832" w:rsidP="00F05E65">
      <w:pPr>
        <w:spacing w:before="600" w:after="300" w:line="432" w:lineRule="atLeast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Область применения </w:t>
      </w:r>
    </w:p>
    <w:p w14:paraId="7290E371" w14:textId="77777777" w:rsidR="00C96832" w:rsidRPr="00C96832" w:rsidRDefault="00C96832" w:rsidP="00F05E65">
      <w:p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Лаборатории зернопроизводящих хозяйств, элеваторов и </w:t>
      </w:r>
      <w:proofErr w:type="spellStart"/>
      <w:r w:rsidRPr="00C9683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зерноприёмных</w:t>
      </w:r>
      <w:proofErr w:type="spellEnd"/>
      <w:r w:rsidRPr="00C9683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пунктов, селекционных центров, растениеводческих НИИ, комбикормовых заводов, предприятий масложировой промышленности, контрольно-аналитические лаборатории ЦСМ и других организаций и предприятий, связанных с исследованиями, оценкой качества и сертификацией зерновых, масличных культур, комбикормов и т.п.</w:t>
      </w:r>
    </w:p>
    <w:p w14:paraId="3B726368" w14:textId="77777777" w:rsidR="00C96832" w:rsidRPr="00C96832" w:rsidRDefault="00C96832" w:rsidP="00F05E65">
      <w:pPr>
        <w:spacing w:before="600" w:after="300" w:line="432" w:lineRule="atLeast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Общая характеристика </w:t>
      </w:r>
    </w:p>
    <w:p w14:paraId="2E5C6247" w14:textId="34F7D828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Анализирует широкий спектр показателей качества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 (белок/протеин, влага, количество и качество клейковины (ИДК), жир/масличность, водопоглотительная способность, кислотное число, перекисное число, </w:t>
      </w:r>
      <w:proofErr w:type="spellStart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м.д</w:t>
      </w:r>
      <w:proofErr w:type="spellEnd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. </w:t>
      </w:r>
      <w:proofErr w:type="spellStart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фосфорицирующих</w:t>
      </w:r>
      <w:proofErr w:type="spellEnd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веществ и др.)</w:t>
      </w:r>
    </w:p>
    <w:p w14:paraId="2932FAF0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Встроенный информационно-вычислительный комплекс и применение различных методов математической обработки (линейная регрессия, PCR – регрессия на главные компоненты, PLS – метод частичных наименьших квадратов) позволяет анализировать широкий спектр продуктов и разрабатывать сложные калибровочные уравнения. В памяти сохраняется до 1 млн. результатов измерений.</w:t>
      </w:r>
    </w:p>
    <w:p w14:paraId="23D1850F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Работает с пробами анализируемого вещества в виде размола.</w:t>
      </w:r>
    </w:p>
    <w:p w14:paraId="37EA48F2" w14:textId="76677A6E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Имеет калибровку для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оценки влажности и белка в цельном зерне (пшеница, ячмень).</w:t>
      </w:r>
    </w:p>
    <w:p w14:paraId="31FD441B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Время анализа занимает 1-1,2 минуты.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Прибор позволяет за одно измерение получить результат по нескольким показателям.</w:t>
      </w:r>
    </w:p>
    <w:p w14:paraId="5C2A91A1" w14:textId="13E2170F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Кюветное отделение для анализа сыпучих, жидких и пастообразных продуктов позволяет анализировать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жидкие растительные масла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без использования дополнительных устройств.</w:t>
      </w:r>
    </w:p>
    <w:p w14:paraId="6821B4D0" w14:textId="36C71B7D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Предусмотрена возможность расчёта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 аминокислотного состава комбикормовых составляющих</w:t>
      </w:r>
    </w:p>
    <w:p w14:paraId="70227BE8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Встроенный модуль белизны позволяет определять белизну продукта одновременно с другими показателями качества (влага, белок, количество клейковины). Широкий спектральный диапазон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(400-2500нм) 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обеспечивает измерение зонального коэффициента отражения для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определения белизны муки в соответствии с методикой ГОСТ 26361-2013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.</w:t>
      </w:r>
    </w:p>
    <w:p w14:paraId="75F86625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Возможно использовать анализатор в качестве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влагомера для экспресс-определения влажности выше 17%.</w:t>
      </w:r>
    </w:p>
    <w:p w14:paraId="557384D0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lastRenderedPageBreak/>
        <w:t xml:space="preserve">Высокая </w:t>
      </w:r>
      <w:proofErr w:type="spellStart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виброустойчивость</w:t>
      </w:r>
      <w:proofErr w:type="spellEnd"/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допускает работу как в лаборатории, так и в производственных помещениях. Специальный крепёж прибора к поверхности и возможность отдельной установки моноблока обеспечивает стабильную и надёжную работу в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нестандартных условиях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(морская качка, вибрация и т.д.)</w:t>
      </w:r>
    </w:p>
    <w:p w14:paraId="4BBB04A4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При каждом запуске прибора предусмотрено самотестирование внутренних связей, монохроматора и детектора, что обеспечивает точность результатов на протяжении всей эксплуатации анализатора.</w:t>
      </w:r>
    </w:p>
    <w:p w14:paraId="60ADE2B0" w14:textId="77777777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Погрешность результатов измерений, полученных на приборе, соответствует требованиям ГОСТ.</w:t>
      </w:r>
    </w:p>
    <w:p w14:paraId="09DE7559" w14:textId="7CFF10BA" w:rsidR="00C96832" w:rsidRPr="006873C9" w:rsidRDefault="00C96832" w:rsidP="00F05E65">
      <w:pPr>
        <w:pStyle w:val="a7"/>
        <w:numPr>
          <w:ilvl w:val="0"/>
          <w:numId w:val="4"/>
        </w:num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Для централизованного дистанционного получения информации о проведённых измерениях и обеспечения единства измерений возможна организация локальных сетей на платформе ЭКАНЕТ. Для организации работы анализаторов в сети ЭКАНЕТ анализатор </w:t>
      </w:r>
      <w:r w:rsidRPr="006873C9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ИНФРАСКАН-4200</w:t>
      </w:r>
      <w:r w:rsidRPr="006873C9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может быть использован в качестве сервера для хранения и передачи данных.</w:t>
      </w:r>
    </w:p>
    <w:p w14:paraId="7FE0C32D" w14:textId="77777777" w:rsidR="00F05E65" w:rsidRPr="006873C9" w:rsidRDefault="00F05E65" w:rsidP="00C96832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14:paraId="36489107" w14:textId="017BA7CB" w:rsidR="00C96832" w:rsidRPr="00C96832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proofErr w:type="spellStart"/>
      <w:r w:rsidRPr="00C9683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Пробоподготовка</w:t>
      </w:r>
      <w:proofErr w:type="spellEnd"/>
      <w:r w:rsidRPr="00C9683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к ИК-анализу не требует разложения или извлечения каких-либо веществ, главное – измельчить продукт. Как неоднородность пробы, так и большая крупность помола приводят к систематическим и статистическим ошибкам в анализе. В неизмельченной пробе анализируется только поверхность зёрен, поэтому теряется представительность выборки в отношении их ядра.</w:t>
      </w:r>
    </w:p>
    <w:p w14:paraId="357715AE" w14:textId="77777777" w:rsidR="006873C9" w:rsidRDefault="006873C9" w:rsidP="006873C9">
      <w:pPr>
        <w:spacing w:line="288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</w:pPr>
    </w:p>
    <w:p w14:paraId="5F0273F0" w14:textId="41E2D0F5" w:rsidR="006873C9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Для проведения точного анализа при подготовке проб рекомендуется использовать лабораторные мельницы БОРЕЙ, КАЛИБР или ВЬЮГА</w:t>
      </w:r>
    </w:p>
    <w:p w14:paraId="2DA15AF8" w14:textId="77777777" w:rsidR="006873C9" w:rsidRDefault="006873C9" w:rsidP="006873C9">
      <w:pPr>
        <w:spacing w:line="288" w:lineRule="atLeast"/>
        <w:ind w:left="72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br/>
      </w:r>
    </w:p>
    <w:p w14:paraId="155161E1" w14:textId="4DC92CC2" w:rsidR="00C96832" w:rsidRPr="00C96832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Программное обеспечение</w:t>
      </w:r>
      <w:r w:rsidRPr="00C9683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, разработанное для инфракрасного анализатора </w:t>
      </w:r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ИНФРАСКАН-4200, позволяет дистанционно (посредством сети ИНТЕРНЕТ) обновлять калибровки, установленные на приборе и разрабатывать новые калибровочные уравнения. При разработке калибровок применяются различные методы математической обработки и анализа статистических данных (линейная регрессия, PCR – регрессия на главные компоненты, PLS – метод наименьших квадратов).</w:t>
      </w:r>
    </w:p>
    <w:p w14:paraId="13C77041" w14:textId="77777777" w:rsidR="00C96832" w:rsidRPr="00C96832" w:rsidRDefault="00C96832" w:rsidP="00C96832">
      <w:pPr>
        <w:spacing w:line="288" w:lineRule="atLeast"/>
        <w:ind w:left="720"/>
        <w:rPr>
          <w:rFonts w:ascii="Times New Roman" w:eastAsia="Times New Roman" w:hAnsi="Times New Roman" w:cs="Times New Roman"/>
          <w:color w:val="494949"/>
          <w:lang w:eastAsia="ru-RU"/>
        </w:rPr>
      </w:pPr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 </w:t>
      </w:r>
    </w:p>
    <w:p w14:paraId="652A1E3D" w14:textId="77777777" w:rsidR="00C96832" w:rsidRPr="00C96832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Поставляется с готовыми калибровками:</w:t>
      </w:r>
    </w:p>
    <w:p w14:paraId="1BD705F2" w14:textId="77777777" w:rsidR="00C96832" w:rsidRPr="006873C9" w:rsidRDefault="00C96832" w:rsidP="006873C9">
      <w:pPr>
        <w:pStyle w:val="a7"/>
        <w:numPr>
          <w:ilvl w:val="0"/>
          <w:numId w:val="7"/>
        </w:num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6873C9">
        <w:rPr>
          <w:rFonts w:ascii="Times New Roman" w:eastAsia="Times New Roman" w:hAnsi="Times New Roman" w:cs="Times New Roman"/>
          <w:color w:val="494949"/>
          <w:lang w:eastAsia="ru-RU"/>
        </w:rPr>
        <w:t>Пшеница (влага, белок, количество клейковины)</w:t>
      </w:r>
    </w:p>
    <w:p w14:paraId="230BCB17" w14:textId="77777777" w:rsidR="00C96832" w:rsidRPr="006873C9" w:rsidRDefault="00C96832" w:rsidP="006873C9">
      <w:pPr>
        <w:pStyle w:val="a7"/>
        <w:numPr>
          <w:ilvl w:val="0"/>
          <w:numId w:val="7"/>
        </w:num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6873C9">
        <w:rPr>
          <w:rFonts w:ascii="Times New Roman" w:eastAsia="Times New Roman" w:hAnsi="Times New Roman" w:cs="Times New Roman"/>
          <w:color w:val="494949"/>
          <w:lang w:eastAsia="ru-RU"/>
        </w:rPr>
        <w:t>Ячмень (влага, белок)</w:t>
      </w:r>
    </w:p>
    <w:p w14:paraId="167AF159" w14:textId="77777777" w:rsidR="00C96832" w:rsidRPr="006873C9" w:rsidRDefault="00C96832" w:rsidP="006873C9">
      <w:pPr>
        <w:pStyle w:val="a7"/>
        <w:numPr>
          <w:ilvl w:val="0"/>
          <w:numId w:val="7"/>
        </w:num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6873C9">
        <w:rPr>
          <w:rFonts w:ascii="Times New Roman" w:eastAsia="Times New Roman" w:hAnsi="Times New Roman" w:cs="Times New Roman"/>
          <w:color w:val="494949"/>
          <w:lang w:eastAsia="ru-RU"/>
        </w:rPr>
        <w:t xml:space="preserve">Масло растительное (перекисное, кислотное </w:t>
      </w:r>
      <w:proofErr w:type="gramStart"/>
      <w:r w:rsidRPr="006873C9">
        <w:rPr>
          <w:rFonts w:ascii="Times New Roman" w:eastAsia="Times New Roman" w:hAnsi="Times New Roman" w:cs="Times New Roman"/>
          <w:color w:val="494949"/>
          <w:lang w:eastAsia="ru-RU"/>
        </w:rPr>
        <w:t>число)*</w:t>
      </w:r>
      <w:proofErr w:type="gramEnd"/>
    </w:p>
    <w:p w14:paraId="05899B75" w14:textId="77777777" w:rsidR="00C96832" w:rsidRPr="006873C9" w:rsidRDefault="00C96832" w:rsidP="006873C9">
      <w:pPr>
        <w:pStyle w:val="a7"/>
        <w:numPr>
          <w:ilvl w:val="0"/>
          <w:numId w:val="7"/>
        </w:num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6873C9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 xml:space="preserve">Соя (влага, белок, </w:t>
      </w:r>
      <w:proofErr w:type="gramStart"/>
      <w:r w:rsidRPr="006873C9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масличность)*</w:t>
      </w:r>
      <w:proofErr w:type="gramEnd"/>
      <w:r w:rsidRPr="006873C9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*</w:t>
      </w:r>
      <w:r w:rsidRPr="006873C9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br/>
      </w:r>
      <w:r w:rsidRPr="006873C9">
        <w:rPr>
          <w:rFonts w:ascii="Times New Roman" w:eastAsia="Times New Roman" w:hAnsi="Times New Roman" w:cs="Times New Roman"/>
          <w:b/>
          <w:bCs/>
          <w:i/>
          <w:iCs/>
          <w:color w:val="494949"/>
          <w:lang w:eastAsia="ru-RU"/>
        </w:rPr>
        <w:br/>
      </w:r>
      <w:r w:rsidRPr="006873C9">
        <w:rPr>
          <w:rFonts w:ascii="Times New Roman" w:eastAsia="Times New Roman" w:hAnsi="Times New Roman" w:cs="Times New Roman"/>
          <w:i/>
          <w:iCs/>
          <w:color w:val="494949"/>
          <w:lang w:eastAsia="ru-RU"/>
        </w:rPr>
        <w:t>* по требованию заказчика</w:t>
      </w:r>
      <w:r w:rsidRPr="006873C9">
        <w:rPr>
          <w:rFonts w:ascii="Times New Roman" w:eastAsia="Times New Roman" w:hAnsi="Times New Roman" w:cs="Times New Roman"/>
          <w:i/>
          <w:iCs/>
          <w:color w:val="494949"/>
          <w:lang w:eastAsia="ru-RU"/>
        </w:rPr>
        <w:br/>
        <w:t>** устанавливается для предприятий Дальневосточного федерального округа</w:t>
      </w:r>
    </w:p>
    <w:p w14:paraId="0B1D8CDB" w14:textId="77777777" w:rsidR="00C96832" w:rsidRPr="00C96832" w:rsidRDefault="00C96832" w:rsidP="00C96832">
      <w:pPr>
        <w:spacing w:line="288" w:lineRule="atLeast"/>
        <w:ind w:left="720"/>
        <w:rPr>
          <w:rFonts w:ascii="Times New Roman" w:eastAsia="Times New Roman" w:hAnsi="Times New Roman" w:cs="Times New Roman"/>
          <w:color w:val="494949"/>
          <w:lang w:eastAsia="ru-RU"/>
        </w:rPr>
      </w:pPr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 </w:t>
      </w:r>
    </w:p>
    <w:p w14:paraId="07B16DA0" w14:textId="77777777" w:rsidR="00C96832" w:rsidRPr="00C96832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C96832">
        <w:rPr>
          <w:rFonts w:ascii="Times New Roman" w:eastAsia="Times New Roman" w:hAnsi="Times New Roman" w:cs="Times New Roman"/>
          <w:b/>
          <w:bCs/>
          <w:color w:val="494949"/>
          <w:lang w:eastAsia="ru-RU"/>
        </w:rPr>
        <w:t>Возможна установка дополнительных калибровок</w:t>
      </w:r>
    </w:p>
    <w:p w14:paraId="28CAAAA9" w14:textId="76B2EC63" w:rsidR="00F05E65" w:rsidRDefault="00C96832" w:rsidP="006873C9">
      <w:pPr>
        <w:spacing w:line="288" w:lineRule="atLeast"/>
        <w:rPr>
          <w:rFonts w:ascii="Times New Roman" w:eastAsia="Times New Roman" w:hAnsi="Times New Roman" w:cs="Times New Roman"/>
          <w:color w:val="494949"/>
          <w:lang w:eastAsia="ru-RU"/>
        </w:rPr>
      </w:pPr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 xml:space="preserve">Режим удалённого доступа позволяет дистанционно обновлять имеющиеся калибровки, устанавливать дополнительные и разрабатывать новые </w:t>
      </w:r>
      <w:proofErr w:type="spellStart"/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>градуировочные</w:t>
      </w:r>
      <w:proofErr w:type="spellEnd"/>
      <w:r w:rsidRPr="00C96832">
        <w:rPr>
          <w:rFonts w:ascii="Times New Roman" w:eastAsia="Times New Roman" w:hAnsi="Times New Roman" w:cs="Times New Roman"/>
          <w:color w:val="494949"/>
          <w:lang w:eastAsia="ru-RU"/>
        </w:rPr>
        <w:t xml:space="preserve"> модели на новые продукты, а также при необходимости вносить коррективы в технические настройки.</w:t>
      </w:r>
      <w:r w:rsidR="006873C9">
        <w:rPr>
          <w:rFonts w:ascii="Times New Roman" w:eastAsia="Times New Roman" w:hAnsi="Times New Roman" w:cs="Times New Roman"/>
          <w:color w:val="494949"/>
          <w:lang w:eastAsia="ru-RU"/>
        </w:rPr>
        <w:br/>
      </w:r>
      <w:r w:rsidR="006873C9">
        <w:rPr>
          <w:rFonts w:ascii="Times New Roman" w:eastAsia="Times New Roman" w:hAnsi="Times New Roman" w:cs="Times New Roman"/>
          <w:color w:val="494949"/>
          <w:lang w:eastAsia="ru-RU"/>
        </w:rPr>
        <w:br/>
      </w:r>
      <w:r w:rsidR="006873C9">
        <w:rPr>
          <w:rFonts w:ascii="Times New Roman" w:eastAsia="Times New Roman" w:hAnsi="Times New Roman" w:cs="Times New Roman"/>
          <w:color w:val="494949"/>
          <w:lang w:eastAsia="ru-RU"/>
        </w:rPr>
        <w:br/>
      </w:r>
      <w:r w:rsidR="006873C9">
        <w:rPr>
          <w:rFonts w:ascii="Times New Roman" w:eastAsia="Times New Roman" w:hAnsi="Times New Roman" w:cs="Times New Roman"/>
          <w:color w:val="494949"/>
          <w:lang w:eastAsia="ru-RU"/>
        </w:rPr>
        <w:br/>
      </w:r>
    </w:p>
    <w:tbl>
      <w:tblPr>
        <w:tblpPr w:leftFromText="180" w:rightFromText="180" w:vertAnchor="text" w:horzAnchor="margin" w:tblpXSpec="center" w:tblpY="-1133"/>
        <w:tblW w:w="9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1853"/>
      </w:tblGrid>
      <w:tr w:rsidR="00F05E65" w14:paraId="5116C66D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1109992" w14:textId="0201CE92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lastRenderedPageBreak/>
              <w:t>Средний срок службы, лет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4E06F33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5</w:t>
            </w:r>
          </w:p>
        </w:tc>
      </w:tr>
      <w:tr w:rsidR="00F05E65" w14:paraId="562504E8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1C727B3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 xml:space="preserve">Спектральный диапазон, </w:t>
            </w:r>
            <w:proofErr w:type="spellStart"/>
            <w:r>
              <w:rPr>
                <w:rStyle w:val="a4"/>
                <w:color w:val="7C7C7C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04AF1A5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1400 … 2500</w:t>
            </w:r>
          </w:p>
        </w:tc>
      </w:tr>
      <w:tr w:rsidR="00F05E65" w14:paraId="229E7B40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53A1A70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 xml:space="preserve">Длины волн фиксированных каналов, </w:t>
            </w:r>
            <w:proofErr w:type="spellStart"/>
            <w:r>
              <w:rPr>
                <w:rStyle w:val="a4"/>
                <w:color w:val="7C7C7C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11520F8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400; 500; 800 </w:t>
            </w:r>
          </w:p>
        </w:tc>
      </w:tr>
      <w:tr w:rsidR="00F05E65" w14:paraId="023B33CD" w14:textId="77777777" w:rsidTr="00F05E65">
        <w:trPr>
          <w:trHeight w:val="2081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4EAFFB9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Диапазон измерений показателей качества, %:</w:t>
            </w:r>
          </w:p>
          <w:p w14:paraId="36612766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влаги</w:t>
            </w:r>
          </w:p>
          <w:p w14:paraId="48314550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белка</w:t>
            </w:r>
          </w:p>
          <w:p w14:paraId="253CFAB6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сырого жира</w:t>
            </w:r>
          </w:p>
          <w:p w14:paraId="2F6ADA21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сырой клейковины (в пшенице)</w:t>
            </w:r>
          </w:p>
          <w:p w14:paraId="313EFECD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сырой клетчатки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8C1DE01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206EBCE8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0т 5 до 25</w:t>
            </w:r>
          </w:p>
          <w:p w14:paraId="5351E360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от 5 до 60</w:t>
            </w:r>
          </w:p>
          <w:p w14:paraId="078CC494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от 1 до 80</w:t>
            </w:r>
          </w:p>
          <w:p w14:paraId="3E5E080E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от 17 до 40</w:t>
            </w:r>
          </w:p>
          <w:p w14:paraId="3867D3F5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от 2 до 25</w:t>
            </w:r>
          </w:p>
        </w:tc>
      </w:tr>
      <w:tr w:rsidR="00F05E65" w14:paraId="2B6DE9C0" w14:textId="77777777" w:rsidTr="00F05E65">
        <w:trPr>
          <w:trHeight w:val="89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43EF220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Пределы допускаемой абсолютной погрешности результатов измерений показателей качества, %:</w:t>
            </w:r>
          </w:p>
          <w:p w14:paraId="6DDB875F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9E53EE0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влаги</w:t>
            </w:r>
          </w:p>
          <w:p w14:paraId="0AA9D87E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30E30755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белка:</w:t>
            </w:r>
          </w:p>
          <w:p w14:paraId="109D0C24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73E786C2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</w:p>
          <w:p w14:paraId="1429BDD6" w14:textId="77777777" w:rsidR="00F05E65" w:rsidRDefault="00F05E65" w:rsidP="00F05E65">
            <w:pPr>
              <w:numPr>
                <w:ilvl w:val="2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</w:p>
          <w:p w14:paraId="206469E0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от 5% до 20% вкл.</w:t>
            </w:r>
          </w:p>
          <w:p w14:paraId="473E7384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св.20% до 40% вкл.</w:t>
            </w:r>
          </w:p>
          <w:p w14:paraId="41E2712F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св.40% до 60%</w:t>
            </w:r>
          </w:p>
          <w:p w14:paraId="271CF6EF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D3A0704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сырого жира:</w:t>
            </w:r>
          </w:p>
          <w:p w14:paraId="562BF646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6F93C2C1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</w:p>
          <w:p w14:paraId="12A35276" w14:textId="77777777" w:rsidR="00F05E65" w:rsidRDefault="00F05E65" w:rsidP="00F05E65">
            <w:pPr>
              <w:numPr>
                <w:ilvl w:val="2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</w:p>
          <w:p w14:paraId="1E9F4585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1% до 5% вкл.</w:t>
            </w:r>
          </w:p>
          <w:p w14:paraId="5F3AD22F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св.5% до 20% вкл.</w:t>
            </w:r>
          </w:p>
          <w:p w14:paraId="6E9E513A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св.20% до 40% вкл.</w:t>
            </w:r>
          </w:p>
          <w:p w14:paraId="4A9F1D73" w14:textId="77777777" w:rsidR="00F05E65" w:rsidRDefault="00F05E65" w:rsidP="00F05E65">
            <w:pPr>
              <w:numPr>
                <w:ilvl w:val="3"/>
                <w:numId w:val="6"/>
              </w:numPr>
              <w:spacing w:line="288" w:lineRule="atLeast"/>
              <w:ind w:left="2460"/>
              <w:rPr>
                <w:color w:val="7C7C7C"/>
              </w:rPr>
            </w:pPr>
            <w:r>
              <w:rPr>
                <w:color w:val="7C7C7C"/>
              </w:rPr>
              <w:t>— в диапазоне св.40% до 80%</w:t>
            </w:r>
          </w:p>
          <w:p w14:paraId="55399686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D50730A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сырой клейковины (в пшенице)</w:t>
            </w:r>
          </w:p>
          <w:p w14:paraId="325A10BD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4440EECA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020"/>
              <w:rPr>
                <w:color w:val="7C7C7C"/>
              </w:rPr>
            </w:pPr>
            <w:r>
              <w:rPr>
                <w:color w:val="7C7C7C"/>
              </w:rPr>
              <w:t>массовой доли сырой клетчатки (для зерновых, масличных культур и продуктов их переработки):</w:t>
            </w:r>
          </w:p>
          <w:p w14:paraId="0A1583D8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766F9B61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</w:p>
          <w:p w14:paraId="32A8D4FF" w14:textId="77777777" w:rsidR="00F05E65" w:rsidRDefault="00F05E65" w:rsidP="00F05E65">
            <w:pPr>
              <w:numPr>
                <w:ilvl w:val="2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  <w:r>
              <w:rPr>
                <w:color w:val="7C7C7C"/>
              </w:rPr>
              <w:t>— в диапазоне от 2% до 5% вкл.</w:t>
            </w:r>
          </w:p>
          <w:p w14:paraId="11FFFEC0" w14:textId="77777777" w:rsidR="00F05E65" w:rsidRDefault="00F05E65" w:rsidP="00F05E65">
            <w:pPr>
              <w:numPr>
                <w:ilvl w:val="2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  <w:r>
              <w:rPr>
                <w:color w:val="7C7C7C"/>
              </w:rPr>
              <w:t>— в диапазоне св.5% до 10% вкл.</w:t>
            </w:r>
          </w:p>
          <w:p w14:paraId="24DCC380" w14:textId="77777777" w:rsidR="00F05E65" w:rsidRDefault="00F05E65" w:rsidP="00F05E65">
            <w:pPr>
              <w:numPr>
                <w:ilvl w:val="2"/>
                <w:numId w:val="6"/>
              </w:numPr>
              <w:spacing w:line="288" w:lineRule="atLeast"/>
              <w:ind w:left="1740"/>
              <w:rPr>
                <w:color w:val="7C7C7C"/>
              </w:rPr>
            </w:pPr>
            <w:r>
              <w:rPr>
                <w:color w:val="7C7C7C"/>
              </w:rPr>
              <w:t>— в диапазоне св.10% до 25%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444BE5F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C48172F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4AE234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778CB714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0,5</w:t>
            </w:r>
          </w:p>
          <w:p w14:paraId="6C587B5D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9819DC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1C8F23B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3A5A6C24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0,6</w:t>
            </w:r>
          </w:p>
          <w:p w14:paraId="39F36530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1,2</w:t>
            </w:r>
          </w:p>
          <w:p w14:paraId="497DC08C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1,5</w:t>
            </w:r>
          </w:p>
          <w:p w14:paraId="78509A17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47345F63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3F3C3CB2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04F14971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0,4</w:t>
            </w:r>
          </w:p>
          <w:p w14:paraId="379B202F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1,0</w:t>
            </w:r>
          </w:p>
          <w:p w14:paraId="552E8463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1,5</w:t>
            </w:r>
          </w:p>
          <w:p w14:paraId="7499B795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2,0</w:t>
            </w:r>
          </w:p>
          <w:p w14:paraId="4824C55E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45B472E7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2,0</w:t>
            </w:r>
          </w:p>
          <w:p w14:paraId="36A8D3E5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05D5D914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77F5826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20993EE1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 </w:t>
            </w:r>
          </w:p>
          <w:p w14:paraId="320E08E4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0,8</w:t>
            </w:r>
          </w:p>
          <w:p w14:paraId="5F77F3C9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1,5</w:t>
            </w:r>
          </w:p>
          <w:p w14:paraId="17D04182" w14:textId="77777777" w:rsidR="00F05E65" w:rsidRDefault="00F05E65" w:rsidP="00F05E65">
            <w:pPr>
              <w:numPr>
                <w:ilvl w:val="1"/>
                <w:numId w:val="6"/>
              </w:numPr>
              <w:spacing w:line="288" w:lineRule="atLeast"/>
              <w:ind w:left="720"/>
              <w:rPr>
                <w:b/>
                <w:bCs/>
                <w:color w:val="7C7C7C"/>
              </w:rPr>
            </w:pPr>
            <w:r>
              <w:rPr>
                <w:b/>
                <w:bCs/>
                <w:color w:val="7C7C7C"/>
              </w:rPr>
              <w:t>± 2,5</w:t>
            </w:r>
          </w:p>
        </w:tc>
      </w:tr>
      <w:tr w:rsidR="00F05E65" w14:paraId="765C776C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2AD3634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Время установления рабочего режима, мин.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A053F5C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40</w:t>
            </w:r>
          </w:p>
        </w:tc>
      </w:tr>
      <w:tr w:rsidR="00F05E65" w14:paraId="2F132AC3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45E639E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lastRenderedPageBreak/>
              <w:t>Потребляемая мощность, Вт, не более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4208821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200</w:t>
            </w:r>
          </w:p>
        </w:tc>
      </w:tr>
      <w:tr w:rsidR="00F05E65" w14:paraId="5AB4F634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D5C4D57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Габаритные размеры (Д×Ш×В), мм</w:t>
            </w:r>
            <w:r>
              <w:rPr>
                <w:rStyle w:val="apple-converted-space"/>
                <w:b/>
                <w:bCs/>
                <w:color w:val="7C7C7C"/>
              </w:rPr>
              <w:t>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90FB58F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530 × 370 × 590</w:t>
            </w:r>
          </w:p>
        </w:tc>
      </w:tr>
      <w:tr w:rsidR="00F05E65" w14:paraId="0F248556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B561F20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Масса, кг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1F50097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30</w:t>
            </w:r>
          </w:p>
        </w:tc>
      </w:tr>
      <w:tr w:rsidR="00F05E65" w14:paraId="6EC92DDE" w14:textId="77777777" w:rsidTr="00F05E65">
        <w:trPr>
          <w:trHeight w:val="28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71BFDFA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Потребляемая мощность, ВА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7EB091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200 </w:t>
            </w:r>
          </w:p>
        </w:tc>
      </w:tr>
      <w:tr w:rsidR="00F05E65" w14:paraId="2613196F" w14:textId="77777777" w:rsidTr="00F05E65">
        <w:trPr>
          <w:trHeight w:val="57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6F18E6B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Напряжение питания частотой 50±1, Гц 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BF16095" w14:textId="77777777" w:rsidR="00F05E65" w:rsidRDefault="00F05E65" w:rsidP="00F05E65">
            <w:pPr>
              <w:pStyle w:val="a3"/>
              <w:spacing w:before="0" w:beforeAutospacing="0" w:after="0" w:afterAutospacing="0" w:line="288" w:lineRule="atLeast"/>
              <w:rPr>
                <w:b/>
                <w:bCs/>
                <w:color w:val="7C7C7C"/>
              </w:rPr>
            </w:pPr>
            <w:r>
              <w:rPr>
                <w:rStyle w:val="a4"/>
                <w:color w:val="7C7C7C"/>
              </w:rPr>
              <w:t>220 (+15…-20) % </w:t>
            </w:r>
          </w:p>
        </w:tc>
      </w:tr>
    </w:tbl>
    <w:p w14:paraId="57554848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6CAD3C8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38D9E13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7671DB27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D099C70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024AB32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684E2CC5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590FE45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7F86DA8C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546BD3F0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F27C936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47DD124D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0CB2AEE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E194038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40EA0D89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6329CBC5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729D272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714ACFB9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1DF417C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82C8C8C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AFB1A55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587E5C17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4666F0F2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1C2C6F79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479F722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4EA04CE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6892650F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BE29B7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FE208D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DF7B576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5A943B3A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383F2801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0061B3C1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1DB3EFB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8A41E27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2BBB5C9C" w14:textId="77777777" w:rsidR="00F05E65" w:rsidRDefault="00F05E65" w:rsidP="00F05E65">
      <w:pPr>
        <w:spacing w:line="288" w:lineRule="atLeast"/>
        <w:ind w:left="720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p w14:paraId="71C1FC89" w14:textId="77777777" w:rsidR="00F05E65" w:rsidRDefault="00F05E65" w:rsidP="006873C9">
      <w:pPr>
        <w:spacing w:line="288" w:lineRule="atLeast"/>
        <w:rPr>
          <w:rFonts w:ascii="Times New Roman" w:eastAsia="Times New Roman" w:hAnsi="Times New Roman" w:cs="Times New Roman"/>
          <w:b/>
          <w:bCs/>
          <w:color w:val="7C7C7C"/>
          <w:lang w:eastAsia="ru-RU"/>
        </w:rPr>
      </w:pPr>
    </w:p>
    <w:sectPr w:rsidR="00F0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6994"/>
    <w:multiLevelType w:val="multilevel"/>
    <w:tmpl w:val="344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822F2"/>
    <w:multiLevelType w:val="hybridMultilevel"/>
    <w:tmpl w:val="E7FC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1F69"/>
    <w:multiLevelType w:val="multilevel"/>
    <w:tmpl w:val="344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77037"/>
    <w:multiLevelType w:val="multilevel"/>
    <w:tmpl w:val="344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94E"/>
    <w:multiLevelType w:val="hybridMultilevel"/>
    <w:tmpl w:val="791A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32"/>
    <w:rsid w:val="00202B10"/>
    <w:rsid w:val="00263500"/>
    <w:rsid w:val="00275E8D"/>
    <w:rsid w:val="0052240C"/>
    <w:rsid w:val="00552C2B"/>
    <w:rsid w:val="006873C9"/>
    <w:rsid w:val="00C96832"/>
    <w:rsid w:val="00F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E01C"/>
  <w15:chartTrackingRefBased/>
  <w15:docId w15:val="{7817F550-36CE-FE48-A30C-39BD38E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68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683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roduct-sectioncontent-item">
    <w:name w:val="product-section__content-item"/>
    <w:basedOn w:val="a"/>
    <w:rsid w:val="00C968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968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96832"/>
  </w:style>
  <w:style w:type="character" w:styleId="a4">
    <w:name w:val="Strong"/>
    <w:basedOn w:val="a0"/>
    <w:uiPriority w:val="22"/>
    <w:qFormat/>
    <w:rsid w:val="00C96832"/>
    <w:rPr>
      <w:b/>
      <w:bCs/>
    </w:rPr>
  </w:style>
  <w:style w:type="character" w:styleId="a5">
    <w:name w:val="Hyperlink"/>
    <w:basedOn w:val="a0"/>
    <w:uiPriority w:val="99"/>
    <w:semiHidden/>
    <w:unhideWhenUsed/>
    <w:rsid w:val="00C96832"/>
    <w:rPr>
      <w:color w:val="0000FF"/>
      <w:u w:val="single"/>
    </w:rPr>
  </w:style>
  <w:style w:type="character" w:styleId="a6">
    <w:name w:val="Emphasis"/>
    <w:basedOn w:val="a0"/>
    <w:uiPriority w:val="20"/>
    <w:qFormat/>
    <w:rsid w:val="00C96832"/>
    <w:rPr>
      <w:i/>
      <w:iCs/>
    </w:rPr>
  </w:style>
  <w:style w:type="paragraph" w:styleId="a7">
    <w:name w:val="List Paragraph"/>
    <w:basedOn w:val="a"/>
    <w:uiPriority w:val="34"/>
    <w:qFormat/>
    <w:rsid w:val="00F05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8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2024-01-31T05:30:00Z</dcterms:created>
  <dcterms:modified xsi:type="dcterms:W3CDTF">2024-01-31T05:55:00Z</dcterms:modified>
</cp:coreProperties>
</file>